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6" w14:textId="77777777" w:rsidR="00DB083B" w:rsidRDefault="00000000">
      <w:pPr>
        <w:spacing w:before="280" w:after="0" w:line="240" w:lineRule="auto"/>
        <w:jc w:val="center"/>
        <w:rPr>
          <w:rFonts w:ascii="Times New Roman" w:eastAsia="Times New Roman" w:hAnsi="Times New Roman"/>
          <w:b/>
          <w:sz w:val="20"/>
          <w:szCs w:val="20"/>
        </w:rPr>
      </w:pPr>
      <w:r>
        <w:rPr>
          <w:rFonts w:ascii="Times New Roman" w:eastAsia="Times New Roman" w:hAnsi="Times New Roman"/>
          <w:b/>
          <w:sz w:val="20"/>
          <w:szCs w:val="20"/>
        </w:rPr>
        <w:t xml:space="preserve">ОБҐРУНТУВАННЯ </w:t>
      </w:r>
    </w:p>
    <w:p w14:paraId="00000007" w14:textId="625D8AC0" w:rsidR="00DB083B" w:rsidRDefault="00000000">
      <w:pPr>
        <w:spacing w:after="280" w:line="240" w:lineRule="auto"/>
        <w:jc w:val="center"/>
        <w:rPr>
          <w:rFonts w:ascii="Times New Roman" w:eastAsia="Times New Roman" w:hAnsi="Times New Roman"/>
          <w:b/>
          <w:sz w:val="20"/>
          <w:szCs w:val="20"/>
          <w:u w:val="single"/>
        </w:rPr>
      </w:pPr>
      <w:r>
        <w:rPr>
          <w:rFonts w:ascii="Times New Roman" w:eastAsia="Times New Roman" w:hAnsi="Times New Roman"/>
          <w:sz w:val="20"/>
          <w:szCs w:val="20"/>
        </w:rPr>
        <w:t xml:space="preserve">технічних та якісних характеристик </w:t>
      </w:r>
      <w:r>
        <w:rPr>
          <w:rFonts w:ascii="Times New Roman" w:eastAsia="Times New Roman" w:hAnsi="Times New Roman"/>
          <w:b/>
          <w:sz w:val="20"/>
          <w:szCs w:val="20"/>
        </w:rPr>
        <w:t>закупівлі послуги з розподілу електричної енергії,</w:t>
      </w:r>
      <w:r>
        <w:rPr>
          <w:rFonts w:ascii="Times New Roman" w:eastAsia="Times New Roman" w:hAnsi="Times New Roman"/>
          <w:sz w:val="20"/>
          <w:szCs w:val="20"/>
        </w:rPr>
        <w:t xml:space="preserve"> розміру бюджетного призначення, очікуваної вартості предмета закупівлі</w:t>
      </w:r>
      <w:r w:rsidR="008B3414">
        <w:rPr>
          <w:rFonts w:ascii="Times New Roman" w:eastAsia="Times New Roman" w:hAnsi="Times New Roman"/>
          <w:sz w:val="20"/>
          <w:szCs w:val="20"/>
        </w:rPr>
        <w:t xml:space="preserve"> </w:t>
      </w:r>
      <w:r w:rsidR="009939BA" w:rsidRPr="009939BA">
        <w:rPr>
          <w:rFonts w:ascii="Times New Roman" w:eastAsia="Times New Roman" w:hAnsi="Times New Roman"/>
          <w:b/>
          <w:bCs/>
          <w:sz w:val="20"/>
          <w:szCs w:val="20"/>
        </w:rPr>
        <w:t>в Синевирському ліцеї Синевирської сільської ради Хустського району Закарпатської області:</w:t>
      </w:r>
    </w:p>
    <w:p w14:paraId="57FE19A2" w14:textId="329268D7" w:rsidR="009939BA" w:rsidRPr="00117FE1" w:rsidRDefault="00000000" w:rsidP="00117FE1">
      <w:pPr>
        <w:spacing w:before="280" w:after="280" w:line="240" w:lineRule="auto"/>
        <w:jc w:val="center"/>
        <w:rPr>
          <w:rFonts w:ascii="Times New Roman" w:eastAsia="Times New Roman" w:hAnsi="Times New Roman"/>
          <w:i/>
          <w:sz w:val="20"/>
          <w:szCs w:val="20"/>
        </w:rPr>
      </w:pPr>
      <w:r>
        <w:rPr>
          <w:rFonts w:ascii="Times New Roman" w:eastAsia="Times New Roman" w:hAnsi="Times New Roman"/>
          <w:i/>
          <w:sz w:val="20"/>
          <w:szCs w:val="20"/>
        </w:rPr>
        <w:t>(оприлюднюється на виконання постанови КМУ № 710 від 11.10.2016 «Про ефективне використання державних коштів» (зі змінами)</w:t>
      </w:r>
    </w:p>
    <w:p w14:paraId="0000000A" w14:textId="77777777" w:rsidR="00DB083B" w:rsidRDefault="00000000">
      <w:pPr>
        <w:spacing w:before="280" w:after="280" w:line="240" w:lineRule="auto"/>
        <w:jc w:val="both"/>
        <w:rPr>
          <w:rFonts w:ascii="Times New Roman" w:eastAsia="Times New Roman" w:hAnsi="Times New Roman"/>
          <w:b/>
          <w:color w:val="000000"/>
          <w:sz w:val="20"/>
          <w:szCs w:val="20"/>
        </w:rPr>
      </w:pPr>
      <w:r>
        <w:rPr>
          <w:rFonts w:ascii="Times New Roman" w:eastAsia="Times New Roman" w:hAnsi="Times New Roman"/>
          <w:b/>
          <w:color w:val="000000"/>
          <w:sz w:val="20"/>
          <w:szCs w:val="20"/>
        </w:rPr>
        <w:t>Назва предмета закупівлі із зазначенням коду за Єдиним закупівельним словником (у разі поділу на лоти такі відомості повинні зазначатися стосовно кожного лота) та назви відповідних класифікаторів предмета закупівлі і частин предмета закупівлі (лотів) (за наявності):</w:t>
      </w:r>
      <w:r>
        <w:rPr>
          <w:b/>
          <w:i/>
          <w:sz w:val="20"/>
          <w:szCs w:val="20"/>
        </w:rPr>
        <w:t xml:space="preserve">  </w:t>
      </w:r>
      <w:r>
        <w:rPr>
          <w:rFonts w:ascii="Times New Roman" w:eastAsia="Times New Roman" w:hAnsi="Times New Roman"/>
          <w:b/>
          <w:color w:val="000000"/>
          <w:sz w:val="20"/>
          <w:szCs w:val="20"/>
        </w:rPr>
        <w:t xml:space="preserve"> </w:t>
      </w:r>
      <w:r>
        <w:rPr>
          <w:rFonts w:ascii="Times New Roman" w:eastAsia="Times New Roman" w:hAnsi="Times New Roman"/>
          <w:color w:val="000000"/>
          <w:sz w:val="20"/>
          <w:szCs w:val="20"/>
        </w:rPr>
        <w:t>Послуга з розподілу електричної енергії</w:t>
      </w:r>
      <w:r>
        <w:rPr>
          <w:rFonts w:ascii="Times New Roman" w:eastAsia="Times New Roman" w:hAnsi="Times New Roman"/>
          <w:i/>
          <w:color w:val="000000"/>
          <w:sz w:val="20"/>
          <w:szCs w:val="20"/>
        </w:rPr>
        <w:t xml:space="preserve"> </w:t>
      </w:r>
      <w:r>
        <w:rPr>
          <w:rFonts w:ascii="Times New Roman" w:eastAsia="Times New Roman" w:hAnsi="Times New Roman"/>
          <w:color w:val="000000"/>
          <w:sz w:val="20"/>
          <w:szCs w:val="20"/>
        </w:rPr>
        <w:t>(код національного класифікатора України ДК 021:2015 «Єдиний закупівельний словник» — 65310000-9 «Розподіл електричної енергії»).</w:t>
      </w:r>
    </w:p>
    <w:p w14:paraId="13020591" w14:textId="17B9E579" w:rsidR="009939BA" w:rsidRDefault="00000000" w:rsidP="009939BA">
      <w:pPr>
        <w:spacing w:before="280" w:after="280" w:line="240" w:lineRule="auto"/>
        <w:jc w:val="both"/>
        <w:rPr>
          <w:rFonts w:ascii="Times New Roman" w:eastAsia="Times New Roman" w:hAnsi="Times New Roman"/>
          <w:sz w:val="20"/>
          <w:szCs w:val="20"/>
        </w:rPr>
      </w:pPr>
      <w:r>
        <w:rPr>
          <w:rFonts w:ascii="Times New Roman" w:eastAsia="Times New Roman" w:hAnsi="Times New Roman"/>
          <w:b/>
          <w:sz w:val="20"/>
          <w:szCs w:val="20"/>
        </w:rPr>
        <w:t>Вид та ідентифікатор процедури закупівлі:</w:t>
      </w:r>
      <w:r>
        <w:rPr>
          <w:rFonts w:ascii="Times New Roman" w:eastAsia="Times New Roman" w:hAnsi="Times New Roman"/>
          <w:sz w:val="20"/>
          <w:szCs w:val="20"/>
        </w:rPr>
        <w:t xml:space="preserve"> </w:t>
      </w:r>
      <w:r w:rsidR="009939BA">
        <w:rPr>
          <w:rFonts w:ascii="Times New Roman" w:eastAsia="Times New Roman" w:hAnsi="Times New Roman"/>
          <w:sz w:val="20"/>
          <w:szCs w:val="20"/>
        </w:rPr>
        <w:t xml:space="preserve">Послуги. </w:t>
      </w:r>
      <w:r w:rsidR="009939BA" w:rsidRPr="009939BA">
        <w:rPr>
          <w:rFonts w:ascii="Times New Roman" w:eastAsia="Times New Roman" w:hAnsi="Times New Roman"/>
          <w:sz w:val="20"/>
          <w:szCs w:val="20"/>
        </w:rPr>
        <w:t>UA-2026-05-01-001103-a</w:t>
      </w:r>
    </w:p>
    <w:p w14:paraId="0000000C" w14:textId="54BB5465" w:rsidR="00DB083B" w:rsidRPr="00C16458" w:rsidRDefault="00000000" w:rsidP="009939BA">
      <w:pPr>
        <w:spacing w:before="280" w:after="280" w:line="240" w:lineRule="auto"/>
        <w:jc w:val="both"/>
        <w:rPr>
          <w:rFonts w:ascii="Times New Roman" w:eastAsia="Times New Roman" w:hAnsi="Times New Roman"/>
          <w:b/>
          <w:sz w:val="20"/>
          <w:szCs w:val="20"/>
        </w:rPr>
      </w:pPr>
      <w:r>
        <w:rPr>
          <w:rFonts w:ascii="Times New Roman" w:eastAsia="Times New Roman" w:hAnsi="Times New Roman"/>
          <w:b/>
          <w:sz w:val="20"/>
          <w:szCs w:val="20"/>
        </w:rPr>
        <w:t>Очікувана вартість та обґрунтування очікуваної вартості предмета закупівлі</w:t>
      </w:r>
      <w:r w:rsidRPr="00C16458">
        <w:rPr>
          <w:rFonts w:ascii="Times New Roman" w:eastAsia="Times New Roman" w:hAnsi="Times New Roman"/>
          <w:b/>
          <w:sz w:val="20"/>
          <w:szCs w:val="20"/>
        </w:rPr>
        <w:t>:</w:t>
      </w:r>
      <w:r w:rsidR="009939BA" w:rsidRPr="00C16458">
        <w:rPr>
          <w:rFonts w:ascii="Times New Roman" w:eastAsia="Times New Roman" w:hAnsi="Times New Roman"/>
          <w:b/>
          <w:sz w:val="20"/>
          <w:szCs w:val="20"/>
        </w:rPr>
        <w:t xml:space="preserve"> </w:t>
      </w:r>
      <w:r w:rsidR="009939BA" w:rsidRPr="00C16458">
        <w:rPr>
          <w:rFonts w:ascii="Times New Roman" w:eastAsia="Times New Roman" w:hAnsi="Times New Roman"/>
          <w:b/>
          <w:sz w:val="20"/>
          <w:szCs w:val="20"/>
        </w:rPr>
        <w:t xml:space="preserve"> 135 368,28 грн. (сто тридцять п'ять тисяч триста шістдесят вісім гривень, 28 копійок) в т. ч. ПДВ - 22560,88 грн.</w:t>
      </w:r>
      <w:r w:rsidR="00C16458">
        <w:rPr>
          <w:rFonts w:ascii="Times New Roman" w:eastAsia="Times New Roman" w:hAnsi="Times New Roman"/>
          <w:b/>
          <w:sz w:val="20"/>
          <w:szCs w:val="20"/>
        </w:rPr>
        <w:t xml:space="preserve"> </w:t>
      </w:r>
    </w:p>
    <w:p w14:paraId="0000000F" w14:textId="03C301BA" w:rsidR="00DB083B" w:rsidRDefault="00000000">
      <w:pPr>
        <w:spacing w:before="280" w:after="280" w:line="240" w:lineRule="auto"/>
        <w:jc w:val="both"/>
        <w:rPr>
          <w:rFonts w:ascii="Times New Roman" w:eastAsia="Times New Roman" w:hAnsi="Times New Roman"/>
          <w:b/>
          <w:i/>
          <w:color w:val="000000"/>
          <w:sz w:val="20"/>
          <w:szCs w:val="20"/>
        </w:rPr>
      </w:pPr>
      <w:r>
        <w:rPr>
          <w:rFonts w:ascii="Times New Roman" w:eastAsia="Times New Roman" w:hAnsi="Times New Roman"/>
          <w:b/>
          <w:sz w:val="20"/>
          <w:szCs w:val="20"/>
        </w:rPr>
        <w:t>Розмір бюджетного призначення:</w:t>
      </w:r>
      <w:r>
        <w:rPr>
          <w:rFonts w:ascii="Times New Roman" w:eastAsia="Times New Roman" w:hAnsi="Times New Roman"/>
          <w:sz w:val="20"/>
          <w:szCs w:val="20"/>
        </w:rPr>
        <w:t xml:space="preserve"> </w:t>
      </w:r>
      <w:r w:rsidR="009939BA" w:rsidRPr="009939BA">
        <w:rPr>
          <w:rFonts w:ascii="Times New Roman" w:eastAsia="Times New Roman" w:hAnsi="Times New Roman"/>
          <w:sz w:val="20"/>
          <w:szCs w:val="20"/>
        </w:rPr>
        <w:t xml:space="preserve">     Бюджетні призначення встановлені рішенням про місцевий бюджет </w:t>
      </w:r>
      <w:r w:rsidR="009939BA">
        <w:rPr>
          <w:rFonts w:ascii="Times New Roman" w:eastAsia="Times New Roman" w:hAnsi="Times New Roman"/>
          <w:sz w:val="20"/>
          <w:szCs w:val="20"/>
        </w:rPr>
        <w:t xml:space="preserve">Синевирської сільської </w:t>
      </w:r>
      <w:r w:rsidR="009939BA" w:rsidRPr="009939BA">
        <w:rPr>
          <w:rFonts w:ascii="Times New Roman" w:eastAsia="Times New Roman" w:hAnsi="Times New Roman"/>
          <w:sz w:val="20"/>
          <w:szCs w:val="20"/>
        </w:rPr>
        <w:t xml:space="preserve"> ради на 202</w:t>
      </w:r>
      <w:r w:rsidR="009939BA">
        <w:rPr>
          <w:rFonts w:ascii="Times New Roman" w:eastAsia="Times New Roman" w:hAnsi="Times New Roman"/>
          <w:sz w:val="20"/>
          <w:szCs w:val="20"/>
        </w:rPr>
        <w:t>6</w:t>
      </w:r>
      <w:r w:rsidR="009939BA" w:rsidRPr="009939BA">
        <w:rPr>
          <w:rFonts w:ascii="Times New Roman" w:eastAsia="Times New Roman" w:hAnsi="Times New Roman"/>
          <w:sz w:val="20"/>
          <w:szCs w:val="20"/>
        </w:rPr>
        <w:t xml:space="preserve"> рік, яке затверджено на сесії с</w:t>
      </w:r>
      <w:r w:rsidR="009939BA">
        <w:rPr>
          <w:rFonts w:ascii="Times New Roman" w:eastAsia="Times New Roman" w:hAnsi="Times New Roman"/>
          <w:sz w:val="20"/>
          <w:szCs w:val="20"/>
        </w:rPr>
        <w:t xml:space="preserve">ільської </w:t>
      </w:r>
      <w:r w:rsidR="009939BA" w:rsidRPr="009939BA">
        <w:rPr>
          <w:rFonts w:ascii="Times New Roman" w:eastAsia="Times New Roman" w:hAnsi="Times New Roman"/>
          <w:sz w:val="20"/>
          <w:szCs w:val="20"/>
        </w:rPr>
        <w:t>ради.</w:t>
      </w:r>
    </w:p>
    <w:p w14:paraId="00000010" w14:textId="77777777" w:rsidR="00DB083B" w:rsidRDefault="00000000">
      <w:pPr>
        <w:spacing w:before="280" w:after="280" w:line="240" w:lineRule="auto"/>
        <w:jc w:val="both"/>
        <w:rPr>
          <w:rFonts w:ascii="Times New Roman" w:eastAsia="Times New Roman" w:hAnsi="Times New Roman"/>
          <w:sz w:val="20"/>
          <w:szCs w:val="20"/>
        </w:rPr>
      </w:pPr>
      <w:r>
        <w:rPr>
          <w:rFonts w:ascii="Times New Roman" w:eastAsia="Times New Roman" w:hAnsi="Times New Roman"/>
          <w:b/>
          <w:sz w:val="20"/>
          <w:szCs w:val="20"/>
        </w:rPr>
        <w:t>Нормативно-правове регулювання.</w:t>
      </w:r>
      <w:r>
        <w:rPr>
          <w:rFonts w:ascii="Times New Roman" w:eastAsia="Times New Roman" w:hAnsi="Times New Roman"/>
          <w:sz w:val="20"/>
          <w:szCs w:val="20"/>
        </w:rPr>
        <w:t xml:space="preserve"> Закупівля послуги з розподілу електричної енергії, технічні та якісні характеристики предмета закупівлі регулюються та встановлюються Законом України «Про ринок електричної енергії» (далі — Закон), Правилами роздрібного ринку електричної енергії, затвердженими постановою НКРЕКП від 14.03.2018 № 312 (далі — ПРРЕЕ), Кодексом системи розподілу, затвердженим постановою НКРЕКП України від 14.03.2018 № 310 (далі — КСР), Порядком забезпечення стандартів якості електропостачання та надання компенсацій споживачам за їх недотримання, затвердженим постановою НКРЕКП від 12.06.2018 № 375 (далі — Порядок № 375), Кодексом комерційного обліку, затвердженим постановою НКРЕКП № 311 від 14.03.2018, </w:t>
      </w:r>
      <w:r>
        <w:rPr>
          <w:rFonts w:ascii="Times New Roman" w:eastAsia="Times New Roman" w:hAnsi="Times New Roman"/>
          <w:sz w:val="20"/>
          <w:szCs w:val="20"/>
          <w:highlight w:val="white"/>
        </w:rPr>
        <w:t xml:space="preserve">Особливостями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Законом України «Про публічні закупівлі» від 25.12.2015 № 922-VIII (далі — Закон № 922) </w:t>
      </w:r>
      <w:r>
        <w:rPr>
          <w:rFonts w:ascii="Times New Roman" w:eastAsia="Times New Roman" w:hAnsi="Times New Roman"/>
          <w:sz w:val="20"/>
          <w:szCs w:val="20"/>
        </w:rPr>
        <w:t xml:space="preserve">та іншими нормативно-правовими актами, що стосуються предмета закупівлі. </w:t>
      </w:r>
    </w:p>
    <w:p w14:paraId="00000011" w14:textId="77777777" w:rsidR="00DB083B" w:rsidRDefault="00000000">
      <w:pPr>
        <w:pBdr>
          <w:top w:val="nil"/>
          <w:left w:val="nil"/>
          <w:bottom w:val="nil"/>
          <w:right w:val="nil"/>
          <w:between w:val="nil"/>
        </w:pBdr>
        <w:spacing w:after="0" w:line="240" w:lineRule="auto"/>
        <w:jc w:val="both"/>
        <w:rPr>
          <w:rFonts w:ascii="Times New Roman" w:eastAsia="Times New Roman" w:hAnsi="Times New Roman"/>
          <w:sz w:val="20"/>
          <w:szCs w:val="20"/>
        </w:rPr>
      </w:pPr>
      <w:r>
        <w:rPr>
          <w:rFonts w:ascii="Times New Roman" w:eastAsia="Times New Roman" w:hAnsi="Times New Roman"/>
          <w:b/>
          <w:color w:val="000000"/>
          <w:sz w:val="20"/>
          <w:szCs w:val="20"/>
        </w:rPr>
        <w:t>Загальні положення.</w:t>
      </w:r>
      <w:r>
        <w:rPr>
          <w:rFonts w:ascii="Times New Roman" w:eastAsia="Times New Roman" w:hAnsi="Times New Roman"/>
          <w:color w:val="000000"/>
          <w:sz w:val="20"/>
          <w:szCs w:val="20"/>
        </w:rPr>
        <w:t xml:space="preserve"> Пунктом </w:t>
      </w:r>
      <w:bookmarkStart w:id="0" w:name="bookmark=id.gjdgxs" w:colFirst="0" w:colLast="0"/>
      <w:bookmarkEnd w:id="0"/>
      <w:r>
        <w:rPr>
          <w:rFonts w:ascii="Times New Roman" w:eastAsia="Times New Roman" w:hAnsi="Times New Roman"/>
          <w:color w:val="000000"/>
          <w:sz w:val="20"/>
          <w:szCs w:val="20"/>
        </w:rPr>
        <w:t>78 статті 1 Зако</w:t>
      </w:r>
      <w:r>
        <w:rPr>
          <w:rFonts w:ascii="Times New Roman" w:eastAsia="Times New Roman" w:hAnsi="Times New Roman"/>
          <w:sz w:val="20"/>
          <w:szCs w:val="20"/>
        </w:rPr>
        <w:t xml:space="preserve">ну визначено, що розподіл електричної енергії (далі - розподіл) - транспортування електричної енергії від електроустановок виробників електричної енергії або електроустановок оператора системи передачі мережами оператора системи розподілу, крім постачання електричної енергії. </w:t>
      </w:r>
    </w:p>
    <w:p w14:paraId="00000012"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 xml:space="preserve">Статтею 45 Закону передбачено, що Розподіл електричної енергії здійснюється оператором системи розподілу. Діяльність з розподілу електричної енергії підлягає ліцензуванню відповідно до законодавства. Оператор системи розподілу надає послуги з розподілу електричної енергії на недискримінаційних засадах відповідно до цього Закону, кодексу систем розподілу та інших нормативно-правових актів, що регулюють функціонування ринку електричної енергії. </w:t>
      </w:r>
    </w:p>
    <w:p w14:paraId="00000013"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bookmarkStart w:id="1" w:name="bookmark=id.1fob9te" w:colFirst="0" w:colLast="0"/>
      <w:bookmarkEnd w:id="1"/>
      <w:r>
        <w:rPr>
          <w:rFonts w:ascii="Times New Roman" w:eastAsia="Times New Roman" w:hAnsi="Times New Roman"/>
          <w:color w:val="000000"/>
          <w:sz w:val="20"/>
          <w:szCs w:val="20"/>
        </w:rPr>
        <w:t>Підтвердженням належності провадження господарської діяльності з розподілу електричної енергії є відомості, розміщені на офіційному вебсайті НКРЕКП у розділі: Електрична енергія  /  Ліцензування  /  Реєстри ліцензіатів (вид діяльності — розподіл електричної енергії).</w:t>
      </w:r>
    </w:p>
    <w:p w14:paraId="00000014"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Ліце</w:t>
      </w:r>
      <w:r>
        <w:rPr>
          <w:rFonts w:ascii="Times New Roman" w:eastAsia="Times New Roman" w:hAnsi="Times New Roman"/>
          <w:sz w:val="20"/>
          <w:szCs w:val="20"/>
        </w:rPr>
        <w:t>нзійними умовами провадження господарської діяльності з розподілу електричної енергії (постанова НКРЕКП від 27.12.2017 № 1470) визначено, що місце провадження господарської діяльності – територія адміністративно-територіальної одиниці, в межах якої розташовані система розподілу електричної енергії, що перебуває у власності, господарському віданні (щодо державного або комунального майна) або в управлінні на підставі договору управління активами, укладеного з Національним агентством України з питань виявлення, розшуку та управління активами, одержаними від корупційних та інших злочинів, здобувача ліцензії (ліцензіата), та електричні мережі інших власників, які не здійснюють розподіл електричної енергії відповідно до закону та приєднані безпосередньо або через електричні мережі інших власників до системи розподілу електричної енергії здобувача ліцензії (ліцензіата), до якої (яких) приєднано не менше 50000 споживачів (абонентів), а також територія, на якій розташовані електричні мережі інших власників (а також їх субспоживачів), приєднаних до мереж оператора системи передачі, які не здійснюють розподіл електричної енергії відповідно до закону (далі – власники електромереж) та з якими було укладено договір про постачання електричної енергії або договір про спільне використання технологічних електричних мереж до здійснення заходів з відокремлення.</w:t>
      </w:r>
    </w:p>
    <w:p w14:paraId="00000015" w14:textId="2C51BB73"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Постановою НКРЕКП №</w:t>
      </w:r>
      <w:r w:rsidR="009939BA" w:rsidRPr="00A25BFA">
        <w:rPr>
          <w:color w:val="000000"/>
          <w:bdr w:val="none" w:sz="0" w:space="0" w:color="auto" w:frame="1"/>
          <w:shd w:val="clear" w:color="auto" w:fill="FFFFFF"/>
        </w:rPr>
        <w:t>1534</w:t>
      </w:r>
      <w:r>
        <w:rPr>
          <w:rFonts w:ascii="Times New Roman" w:eastAsia="Times New Roman" w:hAnsi="Times New Roman"/>
          <w:color w:val="000000"/>
          <w:sz w:val="20"/>
          <w:szCs w:val="20"/>
        </w:rPr>
        <w:t xml:space="preserve"> від </w:t>
      </w:r>
      <w:r w:rsidR="009939BA" w:rsidRPr="00A25BFA">
        <w:rPr>
          <w:color w:val="000000"/>
          <w:bdr w:val="none" w:sz="0" w:space="0" w:color="auto" w:frame="1"/>
          <w:shd w:val="clear" w:color="auto" w:fill="FFFFFF"/>
        </w:rPr>
        <w:t xml:space="preserve">27.11.2018 </w:t>
      </w:r>
      <w:r w:rsidR="00FA10BB" w:rsidRPr="00A25BFA">
        <w:rPr>
          <w:color w:val="000000"/>
          <w:bdr w:val="none" w:sz="0" w:space="0" w:color="auto" w:frame="1"/>
          <w:shd w:val="clear" w:color="auto" w:fill="FFFFFF"/>
        </w:rPr>
        <w:t xml:space="preserve">ПрАТ «Закарпаттяобленерго», </w:t>
      </w:r>
      <w:r w:rsidR="00FA10BB">
        <w:rPr>
          <w:color w:val="000000"/>
          <w:bdr w:val="none" w:sz="0" w:space="0" w:color="auto" w:frame="1"/>
          <w:shd w:val="clear" w:color="auto" w:fill="FFFFFF"/>
        </w:rPr>
        <w:t>00131529</w:t>
      </w:r>
      <w:r w:rsidR="00FA10BB">
        <w:rPr>
          <w:color w:val="000000"/>
          <w:bdr w:val="none" w:sz="0" w:space="0" w:color="auto" w:frame="1"/>
          <w:shd w:val="clear" w:color="auto" w:fill="FFFFFF"/>
        </w:rPr>
        <w:t xml:space="preserve"> </w:t>
      </w:r>
      <w:r>
        <w:rPr>
          <w:rFonts w:ascii="Times New Roman" w:eastAsia="Times New Roman" w:hAnsi="Times New Roman"/>
          <w:color w:val="000000"/>
          <w:sz w:val="20"/>
          <w:szCs w:val="20"/>
        </w:rPr>
        <w:t xml:space="preserve">видано ліцензію на право провадження господарської діяльності з розподілу електричної енергії у межах місць </w:t>
      </w:r>
      <w:r>
        <w:rPr>
          <w:rFonts w:ascii="Times New Roman" w:eastAsia="Times New Roman" w:hAnsi="Times New Roman"/>
          <w:color w:val="000000"/>
          <w:sz w:val="20"/>
          <w:szCs w:val="20"/>
        </w:rPr>
        <w:lastRenderedPageBreak/>
        <w:t xml:space="preserve">провадження господарської діяльності, на території </w:t>
      </w:r>
      <w:r w:rsidR="00FA10BB" w:rsidRPr="00FA10BB">
        <w:rPr>
          <w:rFonts w:ascii="Times New Roman" w:eastAsia="Times New Roman" w:hAnsi="Times New Roman"/>
          <w:color w:val="000000"/>
          <w:sz w:val="20"/>
          <w:szCs w:val="20"/>
        </w:rPr>
        <w:t>Закарпатської області</w:t>
      </w:r>
      <w:r>
        <w:rPr>
          <w:rFonts w:ascii="Times New Roman" w:eastAsia="Times New Roman" w:hAnsi="Times New Roman"/>
          <w:color w:val="000000"/>
          <w:sz w:val="20"/>
          <w:szCs w:val="20"/>
        </w:rPr>
        <w:t xml:space="preserve">, в межах </w:t>
      </w:r>
      <w:r>
        <w:rPr>
          <w:rFonts w:ascii="Times New Roman" w:eastAsia="Times New Roman" w:hAnsi="Times New Roman"/>
        </w:rPr>
        <w:t>місцезнаходження замовника</w:t>
      </w:r>
    </w:p>
    <w:p w14:paraId="00000016" w14:textId="7944685C"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r>
        <w:rPr>
          <w:rFonts w:ascii="Times New Roman" w:eastAsia="Times New Roman" w:hAnsi="Times New Roman"/>
          <w:color w:val="000000"/>
          <w:sz w:val="20"/>
          <w:szCs w:val="20"/>
        </w:rPr>
        <w:t>Оператор системи розподілу</w:t>
      </w:r>
      <w:r w:rsidR="00FA10BB" w:rsidRPr="00FA10BB">
        <w:t xml:space="preserve"> </w:t>
      </w:r>
      <w:r w:rsidR="00FA10BB" w:rsidRPr="00FA10BB">
        <w:rPr>
          <w:rFonts w:ascii="Times New Roman" w:eastAsia="Times New Roman" w:hAnsi="Times New Roman"/>
          <w:color w:val="000000"/>
          <w:sz w:val="20"/>
          <w:szCs w:val="20"/>
        </w:rPr>
        <w:t>ПрАТ «Закарпаттяобленерго»</w:t>
      </w:r>
      <w:r w:rsidR="00FA10BB">
        <w:rPr>
          <w:rFonts w:ascii="Times New Roman" w:eastAsia="Times New Roman" w:hAnsi="Times New Roman"/>
          <w:color w:val="000000"/>
          <w:sz w:val="20"/>
          <w:szCs w:val="20"/>
        </w:rPr>
        <w:t xml:space="preserve"> </w:t>
      </w:r>
      <w:r>
        <w:rPr>
          <w:rFonts w:ascii="Times New Roman" w:eastAsia="Times New Roman" w:hAnsi="Times New Roman"/>
          <w:color w:val="000000"/>
          <w:sz w:val="20"/>
          <w:szCs w:val="20"/>
        </w:rPr>
        <w:t>повинен забезпечити надання послуги з розподілу електричної енергії на об’єкт замовника</w:t>
      </w:r>
      <w:r w:rsidR="00FA10BB" w:rsidRPr="00FA10BB">
        <w:t xml:space="preserve"> </w:t>
      </w:r>
      <w:r w:rsidR="00FA10BB" w:rsidRPr="00FA10BB">
        <w:rPr>
          <w:rFonts w:ascii="Times New Roman" w:eastAsia="Times New Roman" w:hAnsi="Times New Roman"/>
          <w:color w:val="000000"/>
          <w:sz w:val="20"/>
          <w:szCs w:val="20"/>
        </w:rPr>
        <w:t>Синевирський ліцей Синевирської сільської ради Хустського району Закарпатської області</w:t>
      </w:r>
      <w:r w:rsidR="00FA10BB" w:rsidRPr="00FA10BB">
        <w:rPr>
          <w:rFonts w:ascii="Times New Roman" w:eastAsia="Times New Roman" w:hAnsi="Times New Roman"/>
          <w:color w:val="000000"/>
          <w:sz w:val="20"/>
          <w:szCs w:val="20"/>
        </w:rPr>
        <w:t xml:space="preserve"> </w:t>
      </w:r>
      <w:r>
        <w:rPr>
          <w:rFonts w:ascii="Times New Roman" w:eastAsia="Times New Roman" w:hAnsi="Times New Roman"/>
          <w:color w:val="000000"/>
          <w:sz w:val="20"/>
          <w:szCs w:val="20"/>
        </w:rPr>
        <w:t xml:space="preserve">який знаходиться за адресою </w:t>
      </w:r>
      <w:r w:rsidR="00FA10BB" w:rsidRPr="00FA10BB">
        <w:rPr>
          <w:rFonts w:ascii="Times New Roman" w:eastAsia="Times New Roman" w:hAnsi="Times New Roman"/>
          <w:color w:val="000000"/>
          <w:sz w:val="20"/>
          <w:szCs w:val="20"/>
        </w:rPr>
        <w:t>с. Синевир, буд. 907, Хустський район, Закарпатська область, 90041.</w:t>
      </w:r>
      <w:r w:rsidR="00FA10BB">
        <w:rPr>
          <w:rFonts w:ascii="Times New Roman" w:eastAsia="Times New Roman" w:hAnsi="Times New Roman"/>
          <w:color w:val="000000"/>
          <w:sz w:val="20"/>
          <w:szCs w:val="20"/>
        </w:rPr>
        <w:t xml:space="preserve">, а також корпуси: Синевирський ліцей корпус 1 майстерня (с. Синевир, 907); </w:t>
      </w:r>
      <w:r w:rsidR="00FA10BB">
        <w:rPr>
          <w:rFonts w:ascii="Times New Roman" w:eastAsia="Times New Roman" w:hAnsi="Times New Roman"/>
          <w:color w:val="000000"/>
          <w:sz w:val="20"/>
          <w:szCs w:val="20"/>
        </w:rPr>
        <w:t xml:space="preserve">Синевирський ліцей корпус </w:t>
      </w:r>
      <w:r w:rsidR="00FA10BB">
        <w:rPr>
          <w:rFonts w:ascii="Times New Roman" w:eastAsia="Times New Roman" w:hAnsi="Times New Roman"/>
          <w:color w:val="000000"/>
          <w:sz w:val="20"/>
          <w:szCs w:val="20"/>
        </w:rPr>
        <w:t>2</w:t>
      </w:r>
      <w:r w:rsidR="00FA10BB">
        <w:rPr>
          <w:rFonts w:ascii="Times New Roman" w:eastAsia="Times New Roman" w:hAnsi="Times New Roman"/>
          <w:color w:val="000000"/>
          <w:sz w:val="20"/>
          <w:szCs w:val="20"/>
        </w:rPr>
        <w:t xml:space="preserve"> (с. Синевир, 9</w:t>
      </w:r>
      <w:r w:rsidR="00FA10BB">
        <w:rPr>
          <w:rFonts w:ascii="Times New Roman" w:eastAsia="Times New Roman" w:hAnsi="Times New Roman"/>
          <w:color w:val="000000"/>
          <w:sz w:val="20"/>
          <w:szCs w:val="20"/>
        </w:rPr>
        <w:t>83</w:t>
      </w:r>
      <w:r w:rsidR="00FA10BB">
        <w:rPr>
          <w:rFonts w:ascii="Times New Roman" w:eastAsia="Times New Roman" w:hAnsi="Times New Roman"/>
          <w:color w:val="000000"/>
          <w:sz w:val="20"/>
          <w:szCs w:val="20"/>
        </w:rPr>
        <w:t>)</w:t>
      </w:r>
      <w:r w:rsidR="00FA10BB">
        <w:rPr>
          <w:rFonts w:ascii="Times New Roman" w:eastAsia="Times New Roman" w:hAnsi="Times New Roman"/>
          <w:color w:val="000000"/>
          <w:sz w:val="20"/>
          <w:szCs w:val="20"/>
        </w:rPr>
        <w:t xml:space="preserve">, </w:t>
      </w:r>
      <w:r w:rsidR="00FA10BB">
        <w:rPr>
          <w:rFonts w:ascii="Times New Roman" w:eastAsia="Times New Roman" w:hAnsi="Times New Roman"/>
          <w:color w:val="000000"/>
          <w:sz w:val="20"/>
          <w:szCs w:val="20"/>
        </w:rPr>
        <w:t xml:space="preserve">Синевирський ліцей корпус </w:t>
      </w:r>
      <w:r w:rsidR="00FA10BB">
        <w:rPr>
          <w:rFonts w:ascii="Times New Roman" w:eastAsia="Times New Roman" w:hAnsi="Times New Roman"/>
          <w:color w:val="000000"/>
          <w:sz w:val="20"/>
          <w:szCs w:val="20"/>
        </w:rPr>
        <w:t>3</w:t>
      </w:r>
      <w:r w:rsidR="00FA10BB">
        <w:rPr>
          <w:rFonts w:ascii="Times New Roman" w:eastAsia="Times New Roman" w:hAnsi="Times New Roman"/>
          <w:color w:val="000000"/>
          <w:sz w:val="20"/>
          <w:szCs w:val="20"/>
        </w:rPr>
        <w:t xml:space="preserve"> (с. Синевир, </w:t>
      </w:r>
      <w:r w:rsidR="00FA10BB">
        <w:rPr>
          <w:rFonts w:ascii="Times New Roman" w:eastAsia="Times New Roman" w:hAnsi="Times New Roman"/>
          <w:color w:val="000000"/>
          <w:sz w:val="20"/>
          <w:szCs w:val="20"/>
        </w:rPr>
        <w:t>1587</w:t>
      </w:r>
      <w:r w:rsidR="00FA10BB">
        <w:rPr>
          <w:rFonts w:ascii="Times New Roman" w:eastAsia="Times New Roman" w:hAnsi="Times New Roman"/>
          <w:color w:val="000000"/>
          <w:sz w:val="20"/>
          <w:szCs w:val="20"/>
        </w:rPr>
        <w:t>)</w:t>
      </w:r>
      <w:r w:rsidR="00FA10BB">
        <w:rPr>
          <w:rFonts w:ascii="Times New Roman" w:eastAsia="Times New Roman" w:hAnsi="Times New Roman"/>
          <w:color w:val="000000"/>
          <w:sz w:val="20"/>
          <w:szCs w:val="20"/>
        </w:rPr>
        <w:t xml:space="preserve">; </w:t>
      </w:r>
      <w:r w:rsidR="00FA10BB">
        <w:rPr>
          <w:rFonts w:ascii="Times New Roman" w:eastAsia="Times New Roman" w:hAnsi="Times New Roman"/>
          <w:color w:val="000000"/>
          <w:sz w:val="20"/>
          <w:szCs w:val="20"/>
        </w:rPr>
        <w:t xml:space="preserve">Синевирський ліцей корпус </w:t>
      </w:r>
      <w:r w:rsidR="00FA10BB">
        <w:rPr>
          <w:rFonts w:ascii="Times New Roman" w:eastAsia="Times New Roman" w:hAnsi="Times New Roman"/>
          <w:color w:val="000000"/>
          <w:sz w:val="20"/>
          <w:szCs w:val="20"/>
        </w:rPr>
        <w:t>4</w:t>
      </w:r>
      <w:r w:rsidR="00FA10BB">
        <w:rPr>
          <w:rFonts w:ascii="Times New Roman" w:eastAsia="Times New Roman" w:hAnsi="Times New Roman"/>
          <w:color w:val="000000"/>
          <w:sz w:val="20"/>
          <w:szCs w:val="20"/>
        </w:rPr>
        <w:t xml:space="preserve"> (с. Синевир, </w:t>
      </w:r>
      <w:r w:rsidR="00FA10BB">
        <w:rPr>
          <w:rFonts w:ascii="Times New Roman" w:eastAsia="Times New Roman" w:hAnsi="Times New Roman"/>
          <w:color w:val="000000"/>
          <w:sz w:val="20"/>
          <w:szCs w:val="20"/>
        </w:rPr>
        <w:t>666</w:t>
      </w:r>
      <w:r w:rsidR="00FA10BB">
        <w:rPr>
          <w:rFonts w:ascii="Times New Roman" w:eastAsia="Times New Roman" w:hAnsi="Times New Roman"/>
          <w:color w:val="000000"/>
          <w:sz w:val="20"/>
          <w:szCs w:val="20"/>
        </w:rPr>
        <w:t>)</w:t>
      </w:r>
      <w:r w:rsidR="00FA10BB">
        <w:rPr>
          <w:rFonts w:ascii="Times New Roman" w:eastAsia="Times New Roman" w:hAnsi="Times New Roman"/>
          <w:color w:val="000000"/>
          <w:sz w:val="20"/>
          <w:szCs w:val="20"/>
        </w:rPr>
        <w:t xml:space="preserve">; </w:t>
      </w:r>
      <w:r w:rsidR="00FA10BB">
        <w:rPr>
          <w:rFonts w:ascii="Times New Roman" w:eastAsia="Times New Roman" w:hAnsi="Times New Roman"/>
          <w:color w:val="000000"/>
          <w:sz w:val="20"/>
          <w:szCs w:val="20"/>
        </w:rPr>
        <w:t xml:space="preserve">Синевирський ліцей корпус </w:t>
      </w:r>
      <w:r w:rsidR="00FA10BB">
        <w:rPr>
          <w:rFonts w:ascii="Times New Roman" w:eastAsia="Times New Roman" w:hAnsi="Times New Roman"/>
          <w:color w:val="000000"/>
          <w:sz w:val="20"/>
          <w:szCs w:val="20"/>
        </w:rPr>
        <w:t>5</w:t>
      </w:r>
      <w:r w:rsidR="00FA10BB">
        <w:rPr>
          <w:rFonts w:ascii="Times New Roman" w:eastAsia="Times New Roman" w:hAnsi="Times New Roman"/>
          <w:color w:val="000000"/>
          <w:sz w:val="20"/>
          <w:szCs w:val="20"/>
        </w:rPr>
        <w:t xml:space="preserve"> (с. Синевир, </w:t>
      </w:r>
      <w:r w:rsidR="00FA10BB">
        <w:rPr>
          <w:rFonts w:ascii="Times New Roman" w:eastAsia="Times New Roman" w:hAnsi="Times New Roman"/>
          <w:color w:val="000000"/>
          <w:sz w:val="20"/>
          <w:szCs w:val="20"/>
        </w:rPr>
        <w:t>264</w:t>
      </w:r>
      <w:r w:rsidR="00FA10BB">
        <w:rPr>
          <w:rFonts w:ascii="Times New Roman" w:eastAsia="Times New Roman" w:hAnsi="Times New Roman"/>
          <w:color w:val="000000"/>
          <w:sz w:val="20"/>
          <w:szCs w:val="20"/>
        </w:rPr>
        <w:t>)</w:t>
      </w:r>
      <w:r w:rsidR="00FA10BB">
        <w:rPr>
          <w:rFonts w:ascii="Times New Roman" w:eastAsia="Times New Roman" w:hAnsi="Times New Roman"/>
          <w:color w:val="000000"/>
          <w:sz w:val="20"/>
          <w:szCs w:val="20"/>
        </w:rPr>
        <w:t xml:space="preserve">; </w:t>
      </w:r>
      <w:r w:rsidR="00FA10BB">
        <w:rPr>
          <w:rFonts w:ascii="Times New Roman" w:eastAsia="Times New Roman" w:hAnsi="Times New Roman"/>
          <w:color w:val="000000"/>
          <w:sz w:val="20"/>
          <w:szCs w:val="20"/>
        </w:rPr>
        <w:t xml:space="preserve">Синевирський ліцей корпус </w:t>
      </w:r>
      <w:r w:rsidR="00FA10BB">
        <w:rPr>
          <w:rFonts w:ascii="Times New Roman" w:eastAsia="Times New Roman" w:hAnsi="Times New Roman"/>
          <w:color w:val="000000"/>
          <w:sz w:val="20"/>
          <w:szCs w:val="20"/>
        </w:rPr>
        <w:t xml:space="preserve">6 </w:t>
      </w:r>
      <w:r w:rsidR="00FA10BB">
        <w:rPr>
          <w:rFonts w:ascii="Times New Roman" w:eastAsia="Times New Roman" w:hAnsi="Times New Roman"/>
          <w:color w:val="000000"/>
          <w:sz w:val="20"/>
          <w:szCs w:val="20"/>
        </w:rPr>
        <w:t xml:space="preserve"> (с. Синевир, </w:t>
      </w:r>
      <w:r w:rsidR="00FA10BB">
        <w:rPr>
          <w:rFonts w:ascii="Times New Roman" w:eastAsia="Times New Roman" w:hAnsi="Times New Roman"/>
          <w:color w:val="000000"/>
          <w:sz w:val="20"/>
          <w:szCs w:val="20"/>
        </w:rPr>
        <w:t>726</w:t>
      </w:r>
      <w:r w:rsidR="00FA10BB">
        <w:rPr>
          <w:rFonts w:ascii="Times New Roman" w:eastAsia="Times New Roman" w:hAnsi="Times New Roman"/>
          <w:color w:val="000000"/>
          <w:sz w:val="20"/>
          <w:szCs w:val="20"/>
        </w:rPr>
        <w:t>)</w:t>
      </w:r>
      <w:r w:rsidR="00FA10BB">
        <w:rPr>
          <w:rFonts w:ascii="Times New Roman" w:eastAsia="Times New Roman" w:hAnsi="Times New Roman"/>
          <w:color w:val="000000"/>
          <w:sz w:val="20"/>
          <w:szCs w:val="20"/>
        </w:rPr>
        <w:t xml:space="preserve"> </w:t>
      </w:r>
      <w:r>
        <w:rPr>
          <w:rFonts w:ascii="Times New Roman" w:eastAsia="Times New Roman" w:hAnsi="Times New Roman"/>
          <w:color w:val="000000"/>
          <w:sz w:val="20"/>
          <w:szCs w:val="20"/>
        </w:rPr>
        <w:t>та підключений до місцевих розподільчих мереж відповідно до вимог Кодексу розподільчих систем, технічні та якісні характеристики якої відповідають нормам чинного на території України законодавства, державним, міжнародним стандартам та вимогам державної політики України в галузі захисту довкілля.</w:t>
      </w:r>
    </w:p>
    <w:p w14:paraId="00000017" w14:textId="77777777" w:rsidR="00DB083B" w:rsidRDefault="00DB083B">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p>
    <w:p w14:paraId="00000018" w14:textId="77777777" w:rsidR="00DB083B" w:rsidRDefault="00000000">
      <w:pPr>
        <w:spacing w:after="0" w:line="240" w:lineRule="auto"/>
        <w:jc w:val="both"/>
        <w:rPr>
          <w:rFonts w:ascii="Times New Roman" w:eastAsia="Times New Roman" w:hAnsi="Times New Roman"/>
          <w:b/>
          <w:sz w:val="20"/>
          <w:szCs w:val="20"/>
        </w:rPr>
      </w:pPr>
      <w:r>
        <w:rPr>
          <w:rFonts w:ascii="Times New Roman" w:eastAsia="Times New Roman" w:hAnsi="Times New Roman"/>
          <w:b/>
          <w:sz w:val="20"/>
          <w:szCs w:val="20"/>
        </w:rPr>
        <w:t xml:space="preserve">Обґрунтування технічних характеристик предмета закупівлі. </w:t>
      </w:r>
    </w:p>
    <w:p w14:paraId="00000019" w14:textId="3AC7AE60" w:rsidR="00DB083B" w:rsidRDefault="00000000">
      <w:pP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 xml:space="preserve">Термін постачання — з </w:t>
      </w:r>
      <w:r w:rsidR="00FA10BB">
        <w:rPr>
          <w:rFonts w:ascii="Times New Roman" w:eastAsia="Times New Roman" w:hAnsi="Times New Roman"/>
          <w:sz w:val="20"/>
          <w:szCs w:val="20"/>
        </w:rPr>
        <w:t xml:space="preserve">01 квітня </w:t>
      </w:r>
      <w:r>
        <w:rPr>
          <w:rFonts w:ascii="Times New Roman" w:eastAsia="Times New Roman" w:hAnsi="Times New Roman"/>
          <w:sz w:val="20"/>
          <w:szCs w:val="20"/>
        </w:rPr>
        <w:t>202</w:t>
      </w:r>
      <w:r w:rsidR="00FA10BB">
        <w:rPr>
          <w:rFonts w:ascii="Times New Roman" w:eastAsia="Times New Roman" w:hAnsi="Times New Roman"/>
          <w:sz w:val="20"/>
          <w:szCs w:val="20"/>
        </w:rPr>
        <w:t>6</w:t>
      </w:r>
      <w:r>
        <w:rPr>
          <w:rFonts w:ascii="Times New Roman" w:eastAsia="Times New Roman" w:hAnsi="Times New Roman"/>
          <w:sz w:val="20"/>
          <w:szCs w:val="20"/>
        </w:rPr>
        <w:t xml:space="preserve">р. по </w:t>
      </w:r>
      <w:r w:rsidR="00FA10BB">
        <w:rPr>
          <w:rFonts w:ascii="Times New Roman" w:eastAsia="Times New Roman" w:hAnsi="Times New Roman"/>
          <w:sz w:val="20"/>
          <w:szCs w:val="20"/>
        </w:rPr>
        <w:t xml:space="preserve">31 грудня </w:t>
      </w:r>
      <w:r>
        <w:rPr>
          <w:rFonts w:ascii="Times New Roman" w:eastAsia="Times New Roman" w:hAnsi="Times New Roman"/>
          <w:sz w:val="20"/>
          <w:szCs w:val="20"/>
        </w:rPr>
        <w:t>202</w:t>
      </w:r>
      <w:r w:rsidR="00FA10BB">
        <w:rPr>
          <w:rFonts w:ascii="Times New Roman" w:eastAsia="Times New Roman" w:hAnsi="Times New Roman"/>
          <w:sz w:val="20"/>
          <w:szCs w:val="20"/>
        </w:rPr>
        <w:t xml:space="preserve">6 </w:t>
      </w:r>
      <w:r>
        <w:rPr>
          <w:rFonts w:ascii="Times New Roman" w:eastAsia="Times New Roman" w:hAnsi="Times New Roman"/>
          <w:sz w:val="20"/>
          <w:szCs w:val="20"/>
        </w:rPr>
        <w:t>р.</w:t>
      </w:r>
    </w:p>
    <w:p w14:paraId="0000001A" w14:textId="0BBFF982" w:rsidR="00DB083B" w:rsidRDefault="00000000">
      <w:pP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Кількісною характеристикою предмета закупівлі є обсяг розподіленої електричної енергії. За одиницю виміру послуги  приймається кіловат-година, яка дорівнює кількості енергії, розділеної по мережах оператора системи розподілу в один кіловат протягом однієї години. Обсяг, необхідний для забезпечення діяльності та власних потреб об’єкта замовника, враховуючи обсяги розподіленої / спожитої електричної енергії попереднього календарного року, становить</w:t>
      </w:r>
      <w:r w:rsidR="00117FE1">
        <w:rPr>
          <w:rFonts w:ascii="Times New Roman" w:eastAsia="Times New Roman" w:hAnsi="Times New Roman"/>
          <w:sz w:val="20"/>
          <w:szCs w:val="20"/>
        </w:rPr>
        <w:t xml:space="preserve"> 40 000 </w:t>
      </w:r>
      <w:r>
        <w:rPr>
          <w:rFonts w:ascii="Times New Roman" w:eastAsia="Times New Roman" w:hAnsi="Times New Roman"/>
          <w:sz w:val="20"/>
          <w:szCs w:val="20"/>
        </w:rPr>
        <w:t>кВт. год на 202</w:t>
      </w:r>
      <w:r w:rsidR="00117FE1">
        <w:rPr>
          <w:rFonts w:ascii="Times New Roman" w:eastAsia="Times New Roman" w:hAnsi="Times New Roman"/>
          <w:sz w:val="20"/>
          <w:szCs w:val="20"/>
        </w:rPr>
        <w:t>6</w:t>
      </w:r>
      <w:r>
        <w:rPr>
          <w:rFonts w:ascii="Times New Roman" w:eastAsia="Times New Roman" w:hAnsi="Times New Roman"/>
          <w:sz w:val="20"/>
          <w:szCs w:val="20"/>
        </w:rPr>
        <w:t>р.</w:t>
      </w:r>
    </w:p>
    <w:p w14:paraId="0000001C" w14:textId="5ED3B9E1" w:rsidR="00DB083B" w:rsidRDefault="00000000">
      <w:pP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Ціна (тариф) на послугу з розподілу електричної енергії є регульованою та встановлюється НКРЕКП.</w:t>
      </w:r>
    </w:p>
    <w:p w14:paraId="01E1C3BE" w14:textId="60D19ED2" w:rsidR="00C16458" w:rsidRDefault="00C16458">
      <w:pPr>
        <w:spacing w:after="0" w:line="240" w:lineRule="auto"/>
        <w:ind w:firstLine="720"/>
        <w:jc w:val="both"/>
        <w:rPr>
          <w:rFonts w:ascii="Times New Roman" w:eastAsia="Times New Roman" w:hAnsi="Times New Roman"/>
          <w:sz w:val="20"/>
          <w:szCs w:val="20"/>
        </w:rPr>
      </w:pPr>
      <w:r w:rsidRPr="00C16458">
        <w:rPr>
          <w:rFonts w:ascii="Times New Roman" w:eastAsia="Times New Roman" w:hAnsi="Times New Roman"/>
          <w:sz w:val="20"/>
          <w:szCs w:val="20"/>
        </w:rPr>
        <w:t>Відповідно підпункту 5 пункту 13 Особливостей -  застосовується замовником як виняток у разі відсутності конкуренції з технічних причин на відповідному ринку, внаслідок чого договір про закупівлю може бути укладено лише з одним постачальником, за відсутності при цьому альтернативи  на відповідному ринку.</w:t>
      </w:r>
    </w:p>
    <w:p w14:paraId="0000001D" w14:textId="77777777" w:rsidR="00DB083B" w:rsidRDefault="00DB083B">
      <w:pPr>
        <w:pBdr>
          <w:top w:val="nil"/>
          <w:left w:val="nil"/>
          <w:bottom w:val="nil"/>
          <w:right w:val="nil"/>
          <w:between w:val="nil"/>
        </w:pBdr>
        <w:spacing w:after="0" w:line="240" w:lineRule="auto"/>
        <w:jc w:val="both"/>
        <w:rPr>
          <w:rFonts w:ascii="Times New Roman" w:eastAsia="Times New Roman" w:hAnsi="Times New Roman"/>
          <w:b/>
          <w:sz w:val="20"/>
          <w:szCs w:val="20"/>
        </w:rPr>
      </w:pPr>
    </w:p>
    <w:p w14:paraId="0000001E" w14:textId="77777777" w:rsidR="00DB083B" w:rsidRDefault="00000000">
      <w:pPr>
        <w:pBdr>
          <w:top w:val="nil"/>
          <w:left w:val="nil"/>
          <w:bottom w:val="nil"/>
          <w:right w:val="nil"/>
          <w:between w:val="nil"/>
        </w:pBdr>
        <w:spacing w:after="0" w:line="240" w:lineRule="auto"/>
        <w:jc w:val="both"/>
        <w:rPr>
          <w:rFonts w:ascii="Times New Roman" w:eastAsia="Times New Roman" w:hAnsi="Times New Roman"/>
          <w:b/>
          <w:color w:val="000000"/>
          <w:sz w:val="20"/>
          <w:szCs w:val="20"/>
        </w:rPr>
      </w:pPr>
      <w:r>
        <w:rPr>
          <w:rFonts w:ascii="Times New Roman" w:eastAsia="Times New Roman" w:hAnsi="Times New Roman"/>
          <w:b/>
          <w:color w:val="000000"/>
          <w:sz w:val="20"/>
          <w:szCs w:val="20"/>
        </w:rPr>
        <w:t xml:space="preserve">Обґрунтування якісних характеристик предмета закупівлі. </w:t>
      </w:r>
    </w:p>
    <w:p w14:paraId="0000001F"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Відповідно до пункту 2.1. розділу ІІ  КСР якість електричної енергії - сукупність властивостей електричної енергії відповідно до встановлених стандартів, які визначають ступінь її придатності для використання за призначенням.</w:t>
      </w:r>
    </w:p>
    <w:p w14:paraId="00000020"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Відповідно до підпункту 4.1.7. пункту 4.1. розділу ІV  КСР відповідальність за якість електричної енергії, отриманої споживачем внутрішніми мережами несе виробник електричної енергії, до якого приєднані електроустановки споживача.</w:t>
      </w:r>
    </w:p>
    <w:p w14:paraId="00000021" w14:textId="77777777" w:rsidR="00DB083B" w:rsidRDefault="00000000">
      <w:pPr>
        <w:spacing w:after="0" w:line="240" w:lineRule="auto"/>
        <w:ind w:firstLine="720"/>
        <w:jc w:val="both"/>
        <w:rPr>
          <w:rFonts w:ascii="Times New Roman" w:eastAsia="Times New Roman" w:hAnsi="Times New Roman"/>
          <w:sz w:val="20"/>
          <w:szCs w:val="20"/>
        </w:rPr>
      </w:pPr>
      <w:r>
        <w:rPr>
          <w:rFonts w:ascii="Times New Roman" w:eastAsia="Times New Roman" w:hAnsi="Times New Roman"/>
          <w:sz w:val="20"/>
          <w:szCs w:val="20"/>
        </w:rPr>
        <w:t>До якісних характеристик предмета закупівлі, зокрема, належать:</w:t>
      </w:r>
    </w:p>
    <w:p w14:paraId="00000022" w14:textId="77777777" w:rsidR="00DB083B" w:rsidRDefault="00000000">
      <w:pPr>
        <w:numPr>
          <w:ilvl w:val="0"/>
          <w:numId w:val="2"/>
        </w:numPr>
        <w:spacing w:after="0" w:line="240" w:lineRule="auto"/>
        <w:jc w:val="both"/>
        <w:rPr>
          <w:sz w:val="20"/>
          <w:szCs w:val="20"/>
        </w:rPr>
      </w:pPr>
      <w:r>
        <w:rPr>
          <w:rFonts w:ascii="Times New Roman" w:eastAsia="Times New Roman" w:hAnsi="Times New Roman"/>
          <w:sz w:val="20"/>
          <w:szCs w:val="20"/>
        </w:rPr>
        <w:t>надійність (безперервність) електропостачання;</w:t>
      </w:r>
    </w:p>
    <w:p w14:paraId="00000023" w14:textId="77777777" w:rsidR="00DB083B" w:rsidRDefault="00000000">
      <w:pPr>
        <w:numPr>
          <w:ilvl w:val="0"/>
          <w:numId w:val="3"/>
        </w:numPr>
        <w:spacing w:after="0" w:line="240" w:lineRule="auto"/>
        <w:jc w:val="both"/>
        <w:rPr>
          <w:sz w:val="20"/>
          <w:szCs w:val="20"/>
        </w:rPr>
      </w:pPr>
      <w:r>
        <w:rPr>
          <w:rFonts w:ascii="Times New Roman" w:eastAsia="Times New Roman" w:hAnsi="Times New Roman"/>
          <w:sz w:val="20"/>
          <w:szCs w:val="20"/>
        </w:rPr>
        <w:t>параметри якості електричної енергії, що розподіляється оператором системи розподілу;</w:t>
      </w:r>
    </w:p>
    <w:p w14:paraId="00000024" w14:textId="77777777" w:rsidR="00DB083B" w:rsidRDefault="00000000">
      <w:pPr>
        <w:numPr>
          <w:ilvl w:val="0"/>
          <w:numId w:val="4"/>
        </w:numPr>
        <w:spacing w:after="0" w:line="240" w:lineRule="auto"/>
        <w:jc w:val="both"/>
        <w:rPr>
          <w:sz w:val="20"/>
          <w:szCs w:val="20"/>
        </w:rPr>
      </w:pPr>
      <w:r>
        <w:rPr>
          <w:rFonts w:ascii="Times New Roman" w:eastAsia="Times New Roman" w:hAnsi="Times New Roman"/>
          <w:sz w:val="20"/>
          <w:szCs w:val="20"/>
        </w:rPr>
        <w:t>показники комерційної якості послуг оператора системи розподілу.</w:t>
      </w:r>
    </w:p>
    <w:p w14:paraId="00000025" w14:textId="77777777" w:rsidR="00DB083B" w:rsidRDefault="00000000">
      <w:pPr>
        <w:pBdr>
          <w:top w:val="nil"/>
          <w:left w:val="nil"/>
          <w:bottom w:val="nil"/>
          <w:right w:val="nil"/>
          <w:between w:val="nil"/>
        </w:pBdr>
        <w:spacing w:after="0" w:line="240" w:lineRule="auto"/>
        <w:ind w:firstLine="720"/>
        <w:jc w:val="both"/>
        <w:rPr>
          <w:rFonts w:ascii="Times New Roman" w:eastAsia="Times New Roman" w:hAnsi="Times New Roman"/>
          <w:color w:val="000000"/>
          <w:sz w:val="20"/>
          <w:szCs w:val="20"/>
        </w:rPr>
      </w:pPr>
      <w:r>
        <w:rPr>
          <w:rFonts w:ascii="Times New Roman" w:eastAsia="Times New Roman" w:hAnsi="Times New Roman"/>
          <w:sz w:val="20"/>
          <w:szCs w:val="20"/>
        </w:rPr>
        <w:t xml:space="preserve">Згідно з підпунктами 11.4.1. - 11.4.3. пункту 11.4. розділу XІ КСР </w:t>
      </w:r>
      <w:r>
        <w:rPr>
          <w:rFonts w:ascii="Times New Roman" w:eastAsia="Times New Roman" w:hAnsi="Times New Roman"/>
          <w:color w:val="000000"/>
          <w:sz w:val="20"/>
          <w:szCs w:val="20"/>
        </w:rPr>
        <w:t>ОСР повинен дотримуватися затверджених Регулятором показників якості електропостачання, які характеризують рівень надійності (безперервності) електропостачання, комерційної якості надання послуг з розподілу електричної енергії та якості електричної енергії.</w:t>
      </w:r>
      <w:r>
        <w:rPr>
          <w:rFonts w:ascii="Times New Roman" w:eastAsia="Times New Roman" w:hAnsi="Times New Roman"/>
          <w:sz w:val="20"/>
          <w:szCs w:val="20"/>
        </w:rPr>
        <w:t xml:space="preserve"> Н</w:t>
      </w:r>
      <w:r>
        <w:rPr>
          <w:rFonts w:ascii="Times New Roman" w:eastAsia="Times New Roman" w:hAnsi="Times New Roman"/>
          <w:color w:val="000000"/>
          <w:sz w:val="20"/>
          <w:szCs w:val="20"/>
        </w:rPr>
        <w:t>адійність (безперервність) електропостачання характеризується кількістю, тривалістю перерв в електропостачанні та обсягом недовідпущеної електричної енергії</w:t>
      </w:r>
      <w:bookmarkStart w:id="2" w:name="bookmark=id.3znysh7" w:colFirst="0" w:colLast="0"/>
      <w:bookmarkEnd w:id="2"/>
      <w:r>
        <w:rPr>
          <w:rFonts w:ascii="Times New Roman" w:eastAsia="Times New Roman" w:hAnsi="Times New Roman"/>
          <w:color w:val="000000"/>
          <w:sz w:val="20"/>
          <w:szCs w:val="20"/>
        </w:rPr>
        <w:t>.</w:t>
      </w:r>
      <w:r>
        <w:rPr>
          <w:rFonts w:ascii="Times New Roman" w:eastAsia="Times New Roman" w:hAnsi="Times New Roman"/>
          <w:sz w:val="20"/>
          <w:szCs w:val="20"/>
        </w:rPr>
        <w:t xml:space="preserve"> </w:t>
      </w:r>
      <w:r>
        <w:rPr>
          <w:rFonts w:ascii="Times New Roman" w:eastAsia="Times New Roman" w:hAnsi="Times New Roman"/>
          <w:color w:val="000000"/>
          <w:sz w:val="20"/>
          <w:szCs w:val="20"/>
        </w:rPr>
        <w:t>Надійність (безперервність) електропостачання споживача характеризується такими показниками:</w:t>
      </w:r>
    </w:p>
    <w:p w14:paraId="00000026" w14:textId="77777777" w:rsidR="00DB083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olor w:val="000000"/>
          <w:sz w:val="20"/>
          <w:szCs w:val="20"/>
        </w:rPr>
      </w:pPr>
      <w:bookmarkStart w:id="3" w:name="bookmark=id.2et92p0" w:colFirst="0" w:colLast="0"/>
      <w:bookmarkEnd w:id="3"/>
      <w:r>
        <w:rPr>
          <w:rFonts w:ascii="Times New Roman" w:eastAsia="Times New Roman" w:hAnsi="Times New Roman"/>
          <w:color w:val="000000"/>
          <w:sz w:val="20"/>
          <w:szCs w:val="20"/>
        </w:rPr>
        <w:t>індекс середньої тривалості довгих перерв в електропостачанні в системі (SAIDI) розраховується як відношення сумарної тривалості довгих перерв в електропостачанні в точках комерційного обліку електричної енергії, у яких було припинене електропостачання за звітний період, до загальної кількості точок комерційного обліку електричної енергії;</w:t>
      </w:r>
    </w:p>
    <w:p w14:paraId="00000027" w14:textId="77777777" w:rsidR="00DB083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індекс середньої частоти довгих перерв в електропостачанні в системі (SAIFI) розраховується як відношення сумарної кількості відключених точок комерційного обліку електричної енергії, у яких було припинене електропостачання внаслідок усіх довгих перерв в електропостачанні протягом звітного періоду, до загальної кількості точок комерційного обліку електричної енергії;</w:t>
      </w:r>
    </w:p>
    <w:p w14:paraId="00000028" w14:textId="77777777" w:rsidR="00DB083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індекс середньої частоти коротких перерв в електропостачанні в системі (MAIFI) розраховується як відношення сумарної кількості відключених точок комерційного обліку електричної енергії протягом звітного періоду до загальної кількості точок комерційного обліку електричної енергії;</w:t>
      </w:r>
    </w:p>
    <w:p w14:paraId="00000029" w14:textId="77777777" w:rsidR="00DB083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olor w:val="000000"/>
          <w:sz w:val="20"/>
          <w:szCs w:val="20"/>
        </w:rPr>
      </w:pPr>
      <w:r>
        <w:rPr>
          <w:rFonts w:ascii="Times New Roman" w:eastAsia="Times New Roman" w:hAnsi="Times New Roman"/>
          <w:color w:val="000000"/>
          <w:sz w:val="20"/>
          <w:szCs w:val="20"/>
        </w:rPr>
        <w:t>розрахунковий обсяг недовідпущеної електроенергії (ENS) розраховується як сума добутків кількості точок комерційного обліку електричної енергії, у яких було припинене електропостачання, на т</w:t>
      </w:r>
      <w:r>
        <w:rPr>
          <w:rFonts w:ascii="Times New Roman" w:eastAsia="Times New Roman" w:hAnsi="Times New Roman"/>
          <w:sz w:val="20"/>
          <w:szCs w:val="20"/>
        </w:rPr>
        <w:t>ривалість довгої перерви та на середнє споживання електроенергії на відповідному рівні напруги.</w:t>
      </w:r>
    </w:p>
    <w:p w14:paraId="0000002A" w14:textId="77777777" w:rsidR="00DB083B" w:rsidRDefault="00000000">
      <w:pPr>
        <w:shd w:val="clear" w:color="auto" w:fill="FFFFFF"/>
        <w:spacing w:after="0" w:line="240" w:lineRule="auto"/>
        <w:ind w:firstLine="708"/>
        <w:jc w:val="both"/>
        <w:rPr>
          <w:rFonts w:ascii="Times New Roman" w:eastAsia="Times New Roman" w:hAnsi="Times New Roman"/>
          <w:sz w:val="20"/>
          <w:szCs w:val="20"/>
        </w:rPr>
      </w:pPr>
      <w:r>
        <w:rPr>
          <w:rFonts w:ascii="Times New Roman" w:eastAsia="Times New Roman" w:hAnsi="Times New Roman"/>
          <w:sz w:val="20"/>
          <w:szCs w:val="20"/>
        </w:rPr>
        <w:t>Якість електропостачання - перелік визначених Регулятором показників (і їх величин), які характеризують рівень надійності (безперервності) електропостачання.</w:t>
      </w:r>
    </w:p>
    <w:p w14:paraId="0000002B" w14:textId="77777777" w:rsidR="00DB083B" w:rsidRDefault="00000000">
      <w:pPr>
        <w:shd w:val="clear" w:color="auto" w:fill="FFFFFF"/>
        <w:spacing w:after="0" w:line="240" w:lineRule="auto"/>
        <w:ind w:firstLine="708"/>
        <w:jc w:val="both"/>
        <w:rPr>
          <w:rFonts w:ascii="Times New Roman" w:eastAsia="Times New Roman" w:hAnsi="Times New Roman"/>
          <w:sz w:val="20"/>
          <w:szCs w:val="20"/>
        </w:rPr>
      </w:pPr>
      <w:r>
        <w:rPr>
          <w:rFonts w:ascii="Times New Roman" w:eastAsia="Times New Roman" w:hAnsi="Times New Roman"/>
          <w:sz w:val="20"/>
          <w:szCs w:val="20"/>
        </w:rPr>
        <w:t>Якість електричної енергії характеризується фізичними параметрами поставленої споживачу електричної енергії та їх відповідністю встановленому законодавством стандарту. Якість електричної енергії забезпечується ОСР під час надання послуги з розподілу електричної енергії.</w:t>
      </w:r>
    </w:p>
    <w:p w14:paraId="0000002C" w14:textId="77777777" w:rsidR="00DB083B" w:rsidRDefault="00000000">
      <w:pPr>
        <w:shd w:val="clear" w:color="auto" w:fill="FFFFFF"/>
        <w:spacing w:after="0" w:line="240" w:lineRule="auto"/>
        <w:ind w:firstLine="720"/>
        <w:jc w:val="both"/>
        <w:rPr>
          <w:rFonts w:ascii="Times New Roman" w:eastAsia="Times New Roman" w:hAnsi="Times New Roman"/>
          <w:sz w:val="20"/>
          <w:szCs w:val="20"/>
        </w:rPr>
      </w:pPr>
      <w:bookmarkStart w:id="4" w:name="bookmark=id.tyjcwt" w:colFirst="0" w:colLast="0"/>
      <w:bookmarkEnd w:id="4"/>
      <w:r>
        <w:rPr>
          <w:rFonts w:ascii="Times New Roman" w:eastAsia="Times New Roman" w:hAnsi="Times New Roman"/>
          <w:sz w:val="20"/>
          <w:szCs w:val="20"/>
        </w:rPr>
        <w:t>Підпунктом 11.4.4 КСР визначається комерційна якість надання послуг, яка характеризує якість відносин ОСР зі споживачем, зокрема дотримання встановлених цим Кодексом та іншими нормативно-правовими актами строків надання послуг та виконання робіт щодо:</w:t>
      </w:r>
    </w:p>
    <w:p w14:paraId="0000002D" w14:textId="77777777" w:rsidR="00DB083B" w:rsidRDefault="00000000">
      <w:pPr>
        <w:pBdr>
          <w:top w:val="nil"/>
          <w:left w:val="nil"/>
          <w:bottom w:val="nil"/>
          <w:right w:val="nil"/>
          <w:between w:val="nil"/>
        </w:pBdr>
        <w:spacing w:after="0" w:line="240" w:lineRule="auto"/>
        <w:ind w:firstLine="426"/>
        <w:jc w:val="both"/>
        <w:rPr>
          <w:rFonts w:ascii="Times New Roman" w:eastAsia="Times New Roman" w:hAnsi="Times New Roman"/>
          <w:sz w:val="20"/>
          <w:szCs w:val="20"/>
        </w:rPr>
      </w:pPr>
      <w:bookmarkStart w:id="5" w:name="bookmark=id.3dy6vkm" w:colFirst="0" w:colLast="0"/>
      <w:bookmarkEnd w:id="5"/>
      <w:r>
        <w:rPr>
          <w:rFonts w:ascii="Times New Roman" w:eastAsia="Times New Roman" w:hAnsi="Times New Roman"/>
          <w:sz w:val="20"/>
          <w:szCs w:val="20"/>
        </w:rPr>
        <w:t>1) приєднання до системи розподілу;</w:t>
      </w:r>
    </w:p>
    <w:p w14:paraId="0000002E" w14:textId="77777777" w:rsidR="00DB083B" w:rsidRDefault="00000000">
      <w:pPr>
        <w:pBdr>
          <w:top w:val="nil"/>
          <w:left w:val="nil"/>
          <w:bottom w:val="nil"/>
          <w:right w:val="nil"/>
          <w:between w:val="nil"/>
        </w:pBdr>
        <w:spacing w:after="0" w:line="240" w:lineRule="auto"/>
        <w:ind w:firstLine="426"/>
        <w:jc w:val="both"/>
        <w:rPr>
          <w:rFonts w:ascii="Times New Roman" w:eastAsia="Times New Roman" w:hAnsi="Times New Roman"/>
          <w:sz w:val="20"/>
          <w:szCs w:val="20"/>
        </w:rPr>
      </w:pPr>
      <w:bookmarkStart w:id="6" w:name="bookmark=id.1t3h5sf" w:colFirst="0" w:colLast="0"/>
      <w:bookmarkEnd w:id="6"/>
      <w:r>
        <w:rPr>
          <w:rFonts w:ascii="Times New Roman" w:eastAsia="Times New Roman" w:hAnsi="Times New Roman"/>
          <w:sz w:val="20"/>
          <w:szCs w:val="20"/>
        </w:rPr>
        <w:t>2) надання послуг з розподілу електричної енергії;</w:t>
      </w:r>
    </w:p>
    <w:p w14:paraId="0000002F" w14:textId="77777777" w:rsidR="00DB083B" w:rsidRDefault="00000000">
      <w:pPr>
        <w:pBdr>
          <w:top w:val="nil"/>
          <w:left w:val="nil"/>
          <w:bottom w:val="nil"/>
          <w:right w:val="nil"/>
          <w:between w:val="nil"/>
        </w:pBdr>
        <w:spacing w:after="0" w:line="240" w:lineRule="auto"/>
        <w:ind w:firstLine="426"/>
        <w:jc w:val="both"/>
        <w:rPr>
          <w:rFonts w:ascii="Times New Roman" w:eastAsia="Times New Roman" w:hAnsi="Times New Roman"/>
          <w:color w:val="000000"/>
          <w:sz w:val="20"/>
          <w:szCs w:val="20"/>
        </w:rPr>
      </w:pPr>
      <w:bookmarkStart w:id="7" w:name="bookmark=id.4d34og8" w:colFirst="0" w:colLast="0"/>
      <w:bookmarkEnd w:id="7"/>
      <w:r>
        <w:rPr>
          <w:rFonts w:ascii="Times New Roman" w:eastAsia="Times New Roman" w:hAnsi="Times New Roman"/>
          <w:sz w:val="20"/>
          <w:szCs w:val="20"/>
        </w:rPr>
        <w:lastRenderedPageBreak/>
        <w:t>3) відновлення електропостачання та забезпе</w:t>
      </w:r>
      <w:r>
        <w:rPr>
          <w:rFonts w:ascii="Times New Roman" w:eastAsia="Times New Roman" w:hAnsi="Times New Roman"/>
          <w:color w:val="000000"/>
          <w:sz w:val="20"/>
          <w:szCs w:val="20"/>
        </w:rPr>
        <w:t>чення належної якості електричної енергії;</w:t>
      </w:r>
    </w:p>
    <w:p w14:paraId="00000030" w14:textId="77777777" w:rsidR="00DB083B" w:rsidRDefault="00000000">
      <w:pPr>
        <w:pBdr>
          <w:top w:val="nil"/>
          <w:left w:val="nil"/>
          <w:bottom w:val="nil"/>
          <w:right w:val="nil"/>
          <w:between w:val="nil"/>
        </w:pBdr>
        <w:spacing w:after="0" w:line="240" w:lineRule="auto"/>
        <w:ind w:firstLine="426"/>
        <w:jc w:val="both"/>
        <w:rPr>
          <w:rFonts w:ascii="Times New Roman" w:eastAsia="Times New Roman" w:hAnsi="Times New Roman"/>
          <w:color w:val="000000"/>
          <w:sz w:val="20"/>
          <w:szCs w:val="20"/>
        </w:rPr>
      </w:pPr>
      <w:bookmarkStart w:id="8" w:name="bookmark=id.2s8eyo1" w:colFirst="0" w:colLast="0"/>
      <w:bookmarkEnd w:id="8"/>
      <w:r>
        <w:rPr>
          <w:rFonts w:ascii="Times New Roman" w:eastAsia="Times New Roman" w:hAnsi="Times New Roman"/>
          <w:color w:val="000000"/>
          <w:sz w:val="20"/>
          <w:szCs w:val="20"/>
        </w:rPr>
        <w:t>4) питань комерційного обліку;</w:t>
      </w:r>
    </w:p>
    <w:p w14:paraId="00000031" w14:textId="77777777" w:rsidR="00DB083B" w:rsidRDefault="00000000">
      <w:pPr>
        <w:pBdr>
          <w:top w:val="nil"/>
          <w:left w:val="nil"/>
          <w:bottom w:val="nil"/>
          <w:right w:val="nil"/>
          <w:between w:val="nil"/>
        </w:pBdr>
        <w:spacing w:after="0" w:line="240" w:lineRule="auto"/>
        <w:ind w:firstLine="426"/>
        <w:jc w:val="both"/>
        <w:rPr>
          <w:rFonts w:ascii="Times New Roman" w:eastAsia="Times New Roman" w:hAnsi="Times New Roman"/>
          <w:color w:val="000000"/>
          <w:sz w:val="20"/>
          <w:szCs w:val="20"/>
        </w:rPr>
      </w:pPr>
      <w:bookmarkStart w:id="9" w:name="bookmark=id.17dp8vu" w:colFirst="0" w:colLast="0"/>
      <w:bookmarkEnd w:id="9"/>
      <w:r>
        <w:rPr>
          <w:rFonts w:ascii="Times New Roman" w:eastAsia="Times New Roman" w:hAnsi="Times New Roman"/>
          <w:color w:val="000000"/>
          <w:sz w:val="20"/>
          <w:szCs w:val="20"/>
        </w:rPr>
        <w:t>5) відповідей на звернення та скарги споживачів тощо.</w:t>
      </w:r>
    </w:p>
    <w:p w14:paraId="00000032" w14:textId="77777777" w:rsidR="00DB083B" w:rsidRDefault="00DB083B">
      <w:pPr>
        <w:spacing w:after="0" w:line="240" w:lineRule="auto"/>
        <w:jc w:val="both"/>
        <w:rPr>
          <w:rFonts w:ascii="Times New Roman" w:eastAsia="Times New Roman" w:hAnsi="Times New Roman"/>
          <w:sz w:val="20"/>
          <w:szCs w:val="20"/>
        </w:rPr>
      </w:pPr>
    </w:p>
    <w:p w14:paraId="00000033" w14:textId="77777777" w:rsidR="00DB083B" w:rsidRDefault="00DB083B">
      <w:pPr>
        <w:spacing w:after="0" w:line="240" w:lineRule="auto"/>
      </w:pPr>
    </w:p>
    <w:sectPr w:rsidR="00DB083B">
      <w:pgSz w:w="11906" w:h="16838"/>
      <w:pgMar w:top="850" w:right="850" w:bottom="850"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charset w:val="00"/>
    <w:family w:val="auto"/>
    <w:pitch w:val="default"/>
    <w:embedRegular r:id="rId1" w:fontKey="{C1D49756-D8BA-4EE9-822C-D811B97F07D8}"/>
  </w:font>
  <w:font w:name="Calibri">
    <w:panose1 w:val="020F0502020204030204"/>
    <w:charset w:val="CC"/>
    <w:family w:val="swiss"/>
    <w:pitch w:val="variable"/>
    <w:sig w:usb0="E4002EFF" w:usb1="C200247B" w:usb2="00000009" w:usb3="00000000" w:csb0="000001FF" w:csb1="00000000"/>
    <w:embedRegular r:id="rId2" w:fontKey="{F57F92A4-1D16-44A8-B9E7-DE3982D80EFB}"/>
    <w:embedBold r:id="rId3" w:fontKey="{613B21FD-1B50-4601-B727-5E6715E0DD3F}"/>
    <w:embedBoldItalic r:id="rId4" w:fontKey="{3CBF8B80-E79D-44B7-891E-BB7EB8C994C3}"/>
  </w:font>
  <w:font w:name="Georgia">
    <w:panose1 w:val="02040502050405020303"/>
    <w:charset w:val="CC"/>
    <w:family w:val="roman"/>
    <w:pitch w:val="variable"/>
    <w:sig w:usb0="00000287" w:usb1="00000000" w:usb2="00000000" w:usb3="00000000" w:csb0="0000009F" w:csb1="00000000"/>
    <w:embedRegular r:id="rId5" w:fontKey="{989C0CB6-2127-4F87-91F4-07ED6FA2F49A}"/>
    <w:embedItalic r:id="rId6" w:fontKey="{12E61F2A-D819-4937-8524-C624B95B5419}"/>
  </w:font>
  <w:font w:name="Calibri Light">
    <w:panose1 w:val="020F0302020204030204"/>
    <w:charset w:val="CC"/>
    <w:family w:val="swiss"/>
    <w:pitch w:val="variable"/>
    <w:sig w:usb0="E4002EFF" w:usb1="C200247B" w:usb2="00000009" w:usb3="00000000" w:csb0="000001FF" w:csb1="00000000"/>
    <w:embedRegular r:id="rId7" w:fontKey="{69BE85FE-6E9E-4750-88D9-183E487AEF8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FF1779"/>
    <w:multiLevelType w:val="multilevel"/>
    <w:tmpl w:val="CFC092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907388C"/>
    <w:multiLevelType w:val="multilevel"/>
    <w:tmpl w:val="440C0852"/>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101403C"/>
    <w:multiLevelType w:val="multilevel"/>
    <w:tmpl w:val="DAEAC8DA"/>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BA24CB3"/>
    <w:multiLevelType w:val="multilevel"/>
    <w:tmpl w:val="707CAB1A"/>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91977645">
    <w:abstractNumId w:val="0"/>
  </w:num>
  <w:num w:numId="2" w16cid:durableId="808520168">
    <w:abstractNumId w:val="2"/>
  </w:num>
  <w:num w:numId="3" w16cid:durableId="1701666578">
    <w:abstractNumId w:val="1"/>
  </w:num>
  <w:num w:numId="4" w16cid:durableId="878460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83B"/>
    <w:rsid w:val="00117FE1"/>
    <w:rsid w:val="008B3414"/>
    <w:rsid w:val="009939BA"/>
    <w:rsid w:val="00AD69A2"/>
    <w:rsid w:val="00C16458"/>
    <w:rsid w:val="00DB083B"/>
    <w:rsid w:val="00FA10B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2E919"/>
  <w15:docId w15:val="{45F19829-98A0-4C94-B67F-91332664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1BA"/>
    <w:rPr>
      <w:rFonts w:cs="Times New Roman"/>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Normal (Web)"/>
    <w:basedOn w:val="a"/>
    <w:uiPriority w:val="99"/>
    <w:unhideWhenUsed/>
    <w:rsid w:val="00B541BA"/>
    <w:pPr>
      <w:spacing w:before="100" w:beforeAutospacing="1" w:after="100" w:afterAutospacing="1" w:line="240" w:lineRule="auto"/>
    </w:pPr>
    <w:rPr>
      <w:rFonts w:ascii="Times New Roman" w:eastAsia="Times New Roman" w:hAnsi="Times New Roman"/>
      <w:sz w:val="24"/>
      <w:szCs w:val="24"/>
    </w:rPr>
  </w:style>
  <w:style w:type="character" w:customStyle="1" w:styleId="rvts0">
    <w:name w:val="rvts0"/>
    <w:basedOn w:val="a0"/>
    <w:rsid w:val="00B541BA"/>
  </w:style>
  <w:style w:type="paragraph" w:customStyle="1" w:styleId="rvps2">
    <w:name w:val="rvps2"/>
    <w:basedOn w:val="a"/>
    <w:rsid w:val="00B541BA"/>
    <w:pPr>
      <w:spacing w:before="100" w:beforeAutospacing="1" w:after="100" w:afterAutospacing="1" w:line="240" w:lineRule="auto"/>
    </w:pPr>
    <w:rPr>
      <w:rFonts w:ascii="Times New Roman" w:eastAsia="Times New Roman" w:hAnsi="Times New Roman"/>
      <w:sz w:val="24"/>
      <w:szCs w:val="24"/>
    </w:rPr>
  </w:style>
  <w:style w:type="character" w:styleId="a5">
    <w:name w:val="Emphasis"/>
    <w:uiPriority w:val="20"/>
    <w:qFormat/>
    <w:rsid w:val="00B541BA"/>
    <w:rPr>
      <w:i/>
      <w:iCs/>
    </w:rPr>
  </w:style>
  <w:style w:type="character" w:customStyle="1" w:styleId="rvts11">
    <w:name w:val="rvts11"/>
    <w:basedOn w:val="a0"/>
    <w:rsid w:val="00B541BA"/>
  </w:style>
  <w:style w:type="paragraph" w:styleId="a6">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ZDQRDrFwviez/vgTYKOASDO6w==">CgMxLjAyCWlkLmdqZGd4czIKaWQuMWZvYjl0ZTIKaWQuM3pueXNoNzIKaWQuMmV0OTJwMDIJaWQudHlqY3d0MgppZC4zZHk2dmttMgppZC4xdDNoNXNmMgppZC40ZDM0b2c4MgppZC4yczhleW8xMgppZC4xN2RwOHZ1OAByITFYZE8wSF9FYXVBcWhNaXUzZ1lac2NGMUpreUt2T005SA==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6796</Words>
  <Characters>3875</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userua12</dc:creator>
  <cp:lastModifiedBy>GS</cp:lastModifiedBy>
  <cp:revision>3</cp:revision>
  <dcterms:created xsi:type="dcterms:W3CDTF">2021-03-05T08:33:00Z</dcterms:created>
  <dcterms:modified xsi:type="dcterms:W3CDTF">2026-05-01T07:28:00Z</dcterms:modified>
</cp:coreProperties>
</file>